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538" w:rsidRDefault="00963538" w:rsidP="00963538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73-ИЛОВА</w:t>
      </w:r>
    </w:p>
    <w:p w:rsidR="00963538" w:rsidRPr="003903FA" w:rsidRDefault="00963538" w:rsidP="00963538">
      <w:pPr>
        <w:pStyle w:val="2"/>
        <w:shd w:val="clear" w:color="auto" w:fill="FFFFFF" w:themeFill="background1"/>
        <w:spacing w:after="2"/>
        <w:ind w:left="282"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КАРАТЭ</w:t>
      </w:r>
    </w:p>
    <w:p w:rsidR="00963538" w:rsidRPr="003903FA" w:rsidRDefault="00963538" w:rsidP="00963538">
      <w:pPr>
        <w:shd w:val="clear" w:color="auto" w:fill="FFFFFF" w:themeFill="background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963538" w:rsidRPr="003903FA" w:rsidRDefault="00963538" w:rsidP="00963538">
      <w:pPr>
        <w:shd w:val="clear" w:color="auto" w:fill="FFFFFF" w:themeFill="background1"/>
        <w:jc w:val="center"/>
        <w:rPr>
          <w:b/>
          <w:noProof/>
          <w:color w:val="000000" w:themeColor="text1"/>
          <w:sz w:val="10"/>
          <w:lang w:val="uz-Latn-UZ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7087"/>
        <w:gridCol w:w="2268"/>
      </w:tblGrid>
      <w:tr w:rsidR="00963538" w:rsidRPr="003903FA" w:rsidTr="0021301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963538" w:rsidRPr="003903FA" w:rsidTr="00213013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963538" w:rsidRPr="003903FA" w:rsidRDefault="00963538" w:rsidP="00213013">
            <w:pPr>
              <w:jc w:val="center"/>
              <w:rPr>
                <w:rFonts w:eastAsia="Times New Roman"/>
                <w:b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963538" w:rsidRPr="003903FA" w:rsidTr="0021301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</w:tabs>
              <w:adjustRightInd w:val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538" w:rsidRPr="003903FA" w:rsidRDefault="00963538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Бутунжаҳон ўйинлари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bCs/>
                <w:noProof/>
                <w:color w:val="000000" w:themeColor="text1"/>
                <w:lang w:val="uz-Latn-UZ"/>
              </w:rPr>
            </w:pPr>
            <w:r w:rsidRPr="003903FA">
              <w:rPr>
                <w:bCs/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963538" w:rsidRPr="003903FA" w:rsidTr="0021301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</w:tabs>
              <w:adjustRightInd w:val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538" w:rsidRPr="003903FA" w:rsidRDefault="00963538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963538" w:rsidRPr="003903FA" w:rsidTr="0021301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</w:tabs>
              <w:adjustRightInd w:val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38" w:rsidRPr="003903FA" w:rsidRDefault="00963538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Cs/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963538" w:rsidRPr="003903FA" w:rsidTr="0021301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</w:tabs>
              <w:adjustRightInd w:val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538" w:rsidRPr="003903FA" w:rsidRDefault="00963538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Осиё чемпионати </w:t>
            </w:r>
            <w:r w:rsidRPr="003903FA">
              <w:rPr>
                <w:noProof/>
                <w:color w:val="000000" w:themeColor="text1"/>
                <w:lang w:val="uz-Cyrl-UZ"/>
              </w:rPr>
              <w:t>(катталар)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Cs/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963538" w:rsidRPr="003903FA" w:rsidTr="00213013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963538" w:rsidRPr="003903FA" w:rsidRDefault="00963538" w:rsidP="00213013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963538" w:rsidRPr="003903FA" w:rsidTr="00213013">
        <w:trPr>
          <w:trHeight w:val="26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4-5</w:t>
            </w:r>
          </w:p>
        </w:tc>
      </w:tr>
      <w:tr w:rsidR="00963538" w:rsidRPr="003903FA" w:rsidTr="00213013">
        <w:trPr>
          <w:trHeight w:val="26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4-5</w:t>
            </w:r>
          </w:p>
        </w:tc>
      </w:tr>
      <w:tr w:rsidR="00963538" w:rsidRPr="003903FA" w:rsidTr="00213013">
        <w:trPr>
          <w:trHeight w:val="26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963538" w:rsidRPr="003903FA" w:rsidTr="00213013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Cs/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963538" w:rsidRPr="003903FA" w:rsidTr="00213013">
        <w:trPr>
          <w:trHeight w:val="2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538" w:rsidRPr="003903FA" w:rsidRDefault="00963538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963538" w:rsidRPr="003903FA" w:rsidTr="00213013">
        <w:trPr>
          <w:trHeight w:val="318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963538" w:rsidRPr="003903FA" w:rsidRDefault="00963538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963538" w:rsidRPr="003903FA" w:rsidTr="00213013">
        <w:trPr>
          <w:trHeight w:val="3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538" w:rsidRPr="003903FA" w:rsidRDefault="00963538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963538" w:rsidRPr="003903FA" w:rsidTr="00213013">
        <w:trPr>
          <w:trHeight w:val="3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538" w:rsidRPr="003903FA" w:rsidRDefault="00963538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963538" w:rsidRPr="003903FA" w:rsidTr="00213013">
        <w:trPr>
          <w:trHeight w:val="3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538" w:rsidRPr="003903FA" w:rsidRDefault="00963538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(ўсмирлар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963538" w:rsidRPr="003903FA" w:rsidTr="00213013">
        <w:trPr>
          <w:trHeight w:val="318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63538" w:rsidRPr="003903FA" w:rsidRDefault="00963538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963538" w:rsidRPr="003903FA" w:rsidTr="00213013">
        <w:trPr>
          <w:trHeight w:val="3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38" w:rsidRPr="003903FA" w:rsidRDefault="00963538" w:rsidP="0021301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963538" w:rsidRPr="003903FA" w:rsidTr="00213013">
        <w:trPr>
          <w:trHeight w:val="318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63538" w:rsidRPr="003903FA" w:rsidRDefault="00963538" w:rsidP="00213013">
            <w:pPr>
              <w:jc w:val="center"/>
              <w:rPr>
                <w:b/>
                <w:bCs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963538" w:rsidRPr="003903FA" w:rsidTr="00213013">
        <w:trPr>
          <w:trHeight w:val="3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pStyle w:val="a5"/>
              <w:numPr>
                <w:ilvl w:val="0"/>
                <w:numId w:val="4"/>
              </w:num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38" w:rsidRPr="003903FA" w:rsidRDefault="00963538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>(катталар,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4-9</w:t>
            </w:r>
          </w:p>
        </w:tc>
      </w:tr>
      <w:tr w:rsidR="00963538" w:rsidRPr="003903FA" w:rsidTr="00213013">
        <w:trPr>
          <w:trHeight w:val="318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63538" w:rsidRPr="003903FA" w:rsidRDefault="00963538" w:rsidP="00213013">
            <w:pPr>
              <w:jc w:val="center"/>
              <w:rPr>
                <w:b/>
                <w:bCs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963538" w:rsidRPr="003903FA" w:rsidTr="00213013">
        <w:trPr>
          <w:trHeight w:val="3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38" w:rsidRPr="003903FA" w:rsidRDefault="00963538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10-18</w:t>
            </w:r>
          </w:p>
        </w:tc>
      </w:tr>
      <w:tr w:rsidR="00963538" w:rsidRPr="003903FA" w:rsidTr="00213013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63538" w:rsidRPr="003903FA" w:rsidRDefault="00963538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963538" w:rsidRPr="003903FA" w:rsidTr="00213013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shd w:val="clear" w:color="auto" w:fill="FFFFFF" w:themeFill="background1"/>
              <w:adjustRightInd w:val="0"/>
              <w:ind w:left="38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38" w:rsidRPr="003903FA" w:rsidRDefault="00963538" w:rsidP="00213013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963538" w:rsidRPr="003903FA" w:rsidTr="00213013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63538" w:rsidRPr="003903FA" w:rsidRDefault="00963538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963538" w:rsidRPr="003903FA" w:rsidTr="00213013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38" w:rsidRPr="003903FA" w:rsidRDefault="00963538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963538" w:rsidRPr="003903FA" w:rsidTr="00213013">
        <w:trPr>
          <w:trHeight w:val="22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63538" w:rsidRPr="003903FA" w:rsidRDefault="00963538" w:rsidP="00394EF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 w:rsidR="00394EF2"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963538" w:rsidRPr="003903FA" w:rsidTr="00213013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38" w:rsidRPr="003903FA" w:rsidRDefault="00963538" w:rsidP="0021301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Cyrl-UZ"/>
              </w:rPr>
              <w:t xml:space="preserve">ёшлар,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38" w:rsidRPr="003903FA" w:rsidRDefault="00963538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963538" w:rsidRPr="003903FA" w:rsidRDefault="00963538" w:rsidP="00963538">
      <w:pPr>
        <w:pStyle w:val="a3"/>
        <w:shd w:val="clear" w:color="auto" w:fill="FFFFFF" w:themeFill="background1"/>
        <w:jc w:val="both"/>
        <w:rPr>
          <w:rFonts w:ascii="Times New Roman" w:hAnsi="Times New Roman"/>
          <w:noProof/>
          <w:color w:val="000000" w:themeColor="text1"/>
          <w:sz w:val="12"/>
          <w:szCs w:val="24"/>
          <w:lang w:val="uz-Latn-UZ"/>
        </w:rPr>
      </w:pPr>
    </w:p>
    <w:p w:rsidR="00836D98" w:rsidRDefault="00836D98" w:rsidP="00836D98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836D98" w:rsidRDefault="00836D98" w:rsidP="00836D98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836D98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98" w:rsidRDefault="00836D98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98" w:rsidRDefault="00836D98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98" w:rsidRDefault="00836D98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836D98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98" w:rsidRDefault="00836D98" w:rsidP="00836D98">
            <w:pPr>
              <w:pStyle w:val="a5"/>
              <w:numPr>
                <w:ilvl w:val="0"/>
                <w:numId w:val="8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98" w:rsidRDefault="00836D98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98" w:rsidRPr="009A48DD" w:rsidRDefault="00836D98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14-</w:t>
            </w:r>
            <w:r>
              <w:rPr>
                <w:color w:val="000000" w:themeColor="text1"/>
              </w:rPr>
              <w:t>18</w:t>
            </w:r>
            <w:r>
              <w:rPr>
                <w:color w:val="000000" w:themeColor="text1"/>
                <w:lang w:val="uz-Cyrl-UZ"/>
              </w:rPr>
              <w:t xml:space="preserve"> ёш ва ундан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uz-Cyrl-UZ"/>
              </w:rPr>
              <w:t>кичик</w:t>
            </w:r>
          </w:p>
        </w:tc>
      </w:tr>
      <w:tr w:rsidR="00836D98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98" w:rsidRDefault="00836D98" w:rsidP="00836D98">
            <w:pPr>
              <w:pStyle w:val="a5"/>
              <w:numPr>
                <w:ilvl w:val="0"/>
                <w:numId w:val="8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98" w:rsidRDefault="00836D98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98" w:rsidRPr="009A48DD" w:rsidRDefault="00836D98" w:rsidP="00B9463B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18</w:t>
            </w:r>
            <w:r>
              <w:rPr>
                <w:color w:val="000000" w:themeColor="text1"/>
                <w:lang w:val="uz-Cyrl-UZ"/>
              </w:rPr>
              <w:t xml:space="preserve"> ёш ва ундан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uz-Cyrl-UZ"/>
              </w:rPr>
              <w:t>кичик</w:t>
            </w:r>
          </w:p>
        </w:tc>
      </w:tr>
      <w:tr w:rsidR="00836D98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98" w:rsidRDefault="00836D98" w:rsidP="00836D98">
            <w:pPr>
              <w:pStyle w:val="a5"/>
              <w:numPr>
                <w:ilvl w:val="0"/>
                <w:numId w:val="8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98" w:rsidRDefault="00836D98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98" w:rsidRPr="005B78B2" w:rsidRDefault="00836D98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963538" w:rsidRPr="003903FA" w:rsidRDefault="00963538" w:rsidP="00963538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bookmarkStart w:id="0" w:name="_GoBack"/>
      <w:bookmarkEnd w:id="0"/>
      <w:r w:rsidRPr="003903FA">
        <w:rPr>
          <w:b w:val="0"/>
          <w:i/>
          <w:noProof/>
          <w:color w:val="000000" w:themeColor="text1"/>
          <w:lang w:val="uz-Latn-UZ"/>
        </w:rPr>
        <w:lastRenderedPageBreak/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  <w:r w:rsidRPr="003903FA">
        <w:rPr>
          <w:b w:val="0"/>
          <w:i/>
          <w:color w:val="000000" w:themeColor="text1"/>
          <w:lang w:val="uz-Latn-UZ"/>
        </w:rPr>
        <w:t xml:space="preserve">Пара </w:t>
      </w:r>
      <w:r w:rsidRPr="003903FA">
        <w:rPr>
          <w:b w:val="0"/>
          <w:i/>
          <w:color w:val="000000" w:themeColor="text1"/>
          <w:lang w:val="uz-Cyrl-UZ"/>
        </w:rPr>
        <w:t>каратэ</w:t>
      </w:r>
      <w:r w:rsidRPr="003903FA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963538" w:rsidRPr="003903FA" w:rsidRDefault="00963538" w:rsidP="00963538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BA77A1" w:rsidRDefault="00963538" w:rsidP="00963538">
      <w:pPr>
        <w:ind w:firstLine="567"/>
        <w:rPr>
          <w:bCs/>
          <w:i/>
          <w:color w:val="000000" w:themeColor="text1"/>
          <w:lang w:val="uz-Cyrl-UZ"/>
        </w:rPr>
      </w:pPr>
      <w:r w:rsidRPr="003903FA">
        <w:rPr>
          <w:bCs/>
          <w:i/>
          <w:color w:val="000000" w:themeColor="text1"/>
          <w:lang w:val="uz-Latn-UZ"/>
        </w:rPr>
        <w:t>Ўзбекистон спорт устаси унвони 16 ёшдан бошлаб бошлаб берилади</w:t>
      </w:r>
      <w:r>
        <w:rPr>
          <w:bCs/>
          <w:i/>
          <w:color w:val="000000" w:themeColor="text1"/>
          <w:lang w:val="uz-Cyrl-UZ"/>
        </w:rPr>
        <w:t>.</w:t>
      </w:r>
    </w:p>
    <w:p w:rsidR="00394EF2" w:rsidRDefault="00394EF2" w:rsidP="00394EF2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 Шунингдек,</w:t>
      </w:r>
      <w:r w:rsidRPr="008E245B">
        <w:rPr>
          <w:i/>
          <w:lang w:val="uz-Latn-UZ"/>
        </w:rPr>
        <w:t xml:space="preserve"> кўргазмали йўналишларда камида 5 нафар спортчи бўл</w:t>
      </w:r>
      <w:r>
        <w:rPr>
          <w:i/>
          <w:lang w:val="uz-Cyrl-UZ"/>
        </w:rPr>
        <w:t xml:space="preserve">иши </w:t>
      </w:r>
      <w:r>
        <w:rPr>
          <w:i/>
          <w:lang w:val="uz-Latn-UZ"/>
        </w:rPr>
        <w:t>(</w:t>
      </w:r>
      <w:r w:rsidRPr="008E245B">
        <w:rPr>
          <w:i/>
          <w:lang w:val="uz-Latn-UZ"/>
        </w:rPr>
        <w:t>ёки 5 нафар жуфтлик, 5 та жамоа</w:t>
      </w:r>
      <w:r>
        <w:rPr>
          <w:i/>
          <w:lang w:val="uz-Cyrl-UZ"/>
        </w:rPr>
        <w:t>) керак.</w:t>
      </w:r>
    </w:p>
    <w:p w:rsidR="00394EF2" w:rsidRPr="00394EF2" w:rsidRDefault="00394EF2" w:rsidP="00394EF2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394EF2" w:rsidRDefault="00394EF2" w:rsidP="00963538">
      <w:pPr>
        <w:ind w:firstLine="567"/>
        <w:rPr>
          <w:bCs/>
          <w:i/>
          <w:color w:val="000000" w:themeColor="text1"/>
          <w:lang w:val="uz-Cyrl-UZ"/>
        </w:rPr>
      </w:pPr>
    </w:p>
    <w:p w:rsidR="00963538" w:rsidRPr="00963538" w:rsidRDefault="00963538" w:rsidP="00963538">
      <w:pPr>
        <w:ind w:firstLine="567"/>
        <w:rPr>
          <w:lang w:val="uz-Cyrl-UZ"/>
        </w:rPr>
      </w:pPr>
    </w:p>
    <w:sectPr w:rsidR="00963538" w:rsidRPr="00963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10A62"/>
    <w:multiLevelType w:val="hybridMultilevel"/>
    <w:tmpl w:val="E44E08E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DB251A0"/>
    <w:multiLevelType w:val="hybridMultilevel"/>
    <w:tmpl w:val="42DA0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847D38"/>
    <w:multiLevelType w:val="hybridMultilevel"/>
    <w:tmpl w:val="42DA0AA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085133"/>
    <w:multiLevelType w:val="hybridMultilevel"/>
    <w:tmpl w:val="42DA0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99771F"/>
    <w:multiLevelType w:val="hybridMultilevel"/>
    <w:tmpl w:val="42DA0AA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766EC1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8306C"/>
    <w:multiLevelType w:val="hybridMultilevel"/>
    <w:tmpl w:val="42DA0AA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8A0695"/>
    <w:multiLevelType w:val="hybridMultilevel"/>
    <w:tmpl w:val="659A52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C2F"/>
    <w:rsid w:val="00060C2F"/>
    <w:rsid w:val="00170FA8"/>
    <w:rsid w:val="0027507C"/>
    <w:rsid w:val="00394EF2"/>
    <w:rsid w:val="003D40A9"/>
    <w:rsid w:val="00836D98"/>
    <w:rsid w:val="00963538"/>
    <w:rsid w:val="00AE030F"/>
    <w:rsid w:val="00BA77A1"/>
    <w:rsid w:val="00C21DC0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FCD660-5E14-4A9F-9738-5DB32FE1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53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63538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35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963538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96353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63538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836D9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2025-04-30T11:16:00Z</dcterms:created>
  <dcterms:modified xsi:type="dcterms:W3CDTF">2025-05-01T14:07:00Z</dcterms:modified>
</cp:coreProperties>
</file>